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1275"/>
        <w:gridCol w:w="3370"/>
        <w:gridCol w:w="90"/>
        <w:gridCol w:w="5715"/>
        <w:tblGridChange w:id="0">
          <w:tblGrid>
            <w:gridCol w:w="1275"/>
            <w:gridCol w:w="3370"/>
            <w:gridCol w:w="90"/>
            <w:gridCol w:w="571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como profesional especializado en la Secretaría del Deporte y la Recreación del proyecto denominado Conservación de la infraestructura deportiva y recreativa del distrito especial de Santiago de Cali BP - 26005399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4162.010.26.1.4737-2025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DANIELA PATIÑO MUÑOZ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1151958351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$18.021.000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14/nov/2025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31/dic/2025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 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$2.402.800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9494937334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1940928595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APORTES EN LINEA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19/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NOVIEMBRE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(1)</w:t>
            </w:r>
          </w:p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4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Realizar el levantamiento, consolidación y análisis de la información correspondiente a la cobertura, participación e impacto de las actividades, proyectos y programas ejecutados por la Secretaría del Deporte y la Recreación del Distrito de Santiago de Cali , en las zonas o comunas que tenga a su cargo. </w:t>
            </w:r>
          </w:p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2.Desarrollar acciones para la categorización de los equipamientos deportivos y recreativos, mediante la planeación, orientación e implementación del enfoque metodológico y técnico del programa, controlando su ejecución y contribuyendo al cumplimiento de los objetivos y actividades del proyecto.</w:t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3.Diseñar y articular los programas del área con las demás áreas de la Secretaría del Deporte, necesaria para la obtención oportuna de los recursos humanos, económicos o físicos requeridos para su ejecución.</w:t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Representar a los programas en las diferentes reuniones con entidades públicas y privadas, así como apoyar la atención de las inquietudes y/o requerimientos que presente el Distrito de Santiago de Cali, a través del supervisor del contrato, de los diferentes entes de control y de la comunidad, sobre el desarrollo y seguimiento del programa.</w:t>
            </w:r>
          </w:p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 Proponer estrategias para la correcta ejecución de los recursos financieros, materiales y humanos para la implementación efectiva de los proyectos, estableciendo controles y medidas de optimización.</w:t>
            </w:r>
          </w:p>
          <w:p w:rsidR="00000000" w:rsidDel="00000000" w:rsidP="00000000" w:rsidRDefault="00000000" w:rsidRPr="00000000" w14:paraId="0000005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6. Planificar , diseñar y evaluar las acciones interinstitucionales para asegurar la integración de los programas con otras políticas públicas y actores clave, optimizando recursos y resultados.</w:t>
            </w:r>
          </w:p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7. Las demas relacionadas con el desarrollo del objeto contractual.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Durante este periodo, no fui requerido para desarrollar actividades vinculadas al cumplimiento de la obligación</w:t>
            </w:r>
            <w:r w:rsidDel="00000000" w:rsidR="00000000" w:rsidRPr="00000000">
              <w:rPr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Desarrollé mediante una mesa de trabajo el cronograma de eventos deportivos de la vigencia actual realizando seguimiento orientación y planeación a cada uno de los eventos deportivos a realizar.</w:t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Articulé los programas de la sub secretaria de fomento, mediante una mesa de trabajo llevada a cabo en el salón de tenis  de la secretaria de deporte y recreación, para la socialización de los recursos humanos y económicos con los cuales se cuenta en la vigencia actual actual y se requiere para el desarrollo de los eventos deportivos</w:t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Desarrollé mediante una mesa de trabajo y supervisión del contrato del evento de tenis WTA.</w:t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 Propuse estrategias para la correcta ejecución de los recursos y su efectiva implementación, mediante una reunión, con el grupo de eventos, revisando el cronograma deportivo establecido para la vigencia actual.</w:t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 Durante este periodo, no fui requerido para desarrollar actividades vinculadas al cumplimiento de la obligación.</w:t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 Durante este periodo, no fui requerido para desarrollar actividades vinculadas al cumplimiento de la obligación.</w:t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 </w:t>
            </w:r>
          </w:p>
          <w:p w:rsidR="00000000" w:rsidDel="00000000" w:rsidP="00000000" w:rsidRDefault="00000000" w:rsidRPr="00000000" w14:paraId="0000007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0563c1"/>
                  <w:u w:val="single"/>
                  <w:rtl w:val="0"/>
                </w:rPr>
                <w:t xml:space="preserve">https://drive.google.com/drive/folders/1kiTOKEUuuBkN19n06S9p6eG7Am6pP4cX?usp=sharing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3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611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</w:rPr>
              <w:drawing>
                <wp:inline distB="0" distT="0" distL="0" distR="0">
                  <wp:extent cx="2333625" cy="504825"/>
                  <wp:effectExtent b="0" l="0" r="0" t="0"/>
                  <wp:docPr id="2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3625" cy="50482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1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28/nov/2025</w:t>
            </w:r>
          </w:p>
        </w:tc>
      </w:tr>
    </w:tbl>
    <w:p w:rsidR="00000000" w:rsidDel="00000000" w:rsidP="00000000" w:rsidRDefault="00000000" w:rsidRPr="00000000" w14:paraId="00000085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  <w:sectPr>
          <w:headerReference r:id="rId9" w:type="default"/>
          <w:footerReference r:id="rId10" w:type="default"/>
          <w:pgSz w:h="15840" w:w="12240" w:orient="portrait"/>
          <w:pgMar w:bottom="720" w:top="766" w:left="720" w:right="720" w:header="709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type w:val="continuous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B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C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D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E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F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0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7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8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9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A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461579"/>
    <w:rPr>
      <w:color w:val="0563c1" w:themeColor="hyperlink"/>
      <w:u w:val="single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2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kiTOKEUuuBkN19n06S9p6eG7Am6pP4cX?usp=sharing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1CoZQnqAcFszt4ooyc8KblD8sgQ==">CgMxLjA4AHIhMVVVeDVKb05VaEw4eXNtUjZTd1VjdFBBUHdJZ0c4aU9a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2025-11-20T20:00:00Z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